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95D37" w:rsidRPr="007F52BC" w:rsidRDefault="00A72032" w:rsidP="00795D3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p>
    <w:p w:rsidR="00795D37" w:rsidRPr="0093113A" w:rsidRDefault="00046B8F" w:rsidP="007F52BC">
      <w:pPr>
        <w:spacing w:after="0" w:line="240" w:lineRule="auto"/>
        <w:jc w:val="center"/>
        <w:rPr>
          <w:rFonts w:ascii="Times New Roman" w:hAnsi="Times New Roman"/>
          <w:sz w:val="24"/>
          <w:szCs w:val="24"/>
        </w:rPr>
      </w:pPr>
      <w:proofErr w:type="gramStart"/>
      <w:r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FC71D3">
        <w:rPr>
          <w:rFonts w:ascii="Times New Roman" w:hAnsi="Times New Roman"/>
          <w:b/>
          <w:sz w:val="24"/>
          <w:szCs w:val="24"/>
        </w:rPr>
        <w:t xml:space="preserve"> № 1 (ЛИТ.</w:t>
      </w:r>
      <w:proofErr w:type="gramEnd"/>
      <w:r w:rsidR="00FC71D3">
        <w:rPr>
          <w:rFonts w:ascii="Times New Roman" w:hAnsi="Times New Roman"/>
          <w:b/>
          <w:sz w:val="24"/>
          <w:szCs w:val="24"/>
        </w:rPr>
        <w:t xml:space="preserve"> А</w:t>
      </w:r>
      <w:proofErr w:type="gramStart"/>
      <w:r w:rsidR="00FC71D3">
        <w:rPr>
          <w:rFonts w:ascii="Times New Roman" w:hAnsi="Times New Roman"/>
          <w:b/>
          <w:sz w:val="24"/>
          <w:szCs w:val="24"/>
        </w:rPr>
        <w:t>1</w:t>
      </w:r>
      <w:proofErr w:type="gramEnd"/>
      <w:r w:rsidR="00FC71D3">
        <w:rPr>
          <w:rFonts w:ascii="Times New Roman" w:hAnsi="Times New Roman"/>
          <w:b/>
          <w:sz w:val="24"/>
          <w:szCs w:val="24"/>
        </w:rPr>
        <w:t>)</w:t>
      </w:r>
      <w:r w:rsidR="00BB6E6B" w:rsidRPr="007F52BC">
        <w:rPr>
          <w:rFonts w:ascii="Times New Roman" w:hAnsi="Times New Roman"/>
          <w:b/>
          <w:sz w:val="24"/>
          <w:szCs w:val="24"/>
        </w:rPr>
        <w:t xml:space="preserve"> ПО </w:t>
      </w:r>
      <w:r w:rsidR="00921735">
        <w:rPr>
          <w:rFonts w:ascii="Times New Roman" w:hAnsi="Times New Roman"/>
          <w:b/>
          <w:sz w:val="24"/>
          <w:szCs w:val="24"/>
        </w:rPr>
        <w:t xml:space="preserve">УЛ. </w:t>
      </w:r>
      <w:r w:rsidR="00FC71D3">
        <w:rPr>
          <w:rFonts w:ascii="Times New Roman" w:hAnsi="Times New Roman"/>
          <w:b/>
          <w:sz w:val="24"/>
          <w:szCs w:val="24"/>
        </w:rPr>
        <w:t>52-Й КВАРТАЛ, Д. 2</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C71D3">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C71D3">
        <w:rPr>
          <w:rFonts w:ascii="Times New Roman" w:hAnsi="Times New Roman"/>
          <w:sz w:val="24"/>
          <w:szCs w:val="24"/>
        </w:rPr>
        <w:t>01.08</w:t>
      </w:r>
      <w:r>
        <w:rPr>
          <w:rFonts w:ascii="Times New Roman" w:hAnsi="Times New Roman"/>
          <w:sz w:val="24"/>
          <w:szCs w:val="24"/>
        </w:rPr>
        <w:t xml:space="preserve">.2019  № </w:t>
      </w:r>
      <w:r w:rsidR="00FC71D3">
        <w:rPr>
          <w:rFonts w:ascii="Times New Roman" w:hAnsi="Times New Roman"/>
          <w:sz w:val="24"/>
          <w:szCs w:val="24"/>
        </w:rPr>
        <w:t>515</w:t>
      </w:r>
      <w:r>
        <w:rPr>
          <w:rFonts w:ascii="Times New Roman" w:hAnsi="Times New Roman"/>
          <w:sz w:val="24"/>
          <w:szCs w:val="24"/>
        </w:rPr>
        <w:t xml:space="preserve"> «О приватизации </w:t>
      </w:r>
      <w:r w:rsidR="00BB6E6B">
        <w:rPr>
          <w:rFonts w:ascii="Times New Roman" w:hAnsi="Times New Roman"/>
          <w:sz w:val="24"/>
          <w:szCs w:val="24"/>
        </w:rPr>
        <w:t xml:space="preserve">нежилого помещения </w:t>
      </w:r>
      <w:r w:rsidR="00FC71D3">
        <w:rPr>
          <w:rFonts w:ascii="Times New Roman" w:hAnsi="Times New Roman"/>
          <w:sz w:val="24"/>
          <w:szCs w:val="24"/>
        </w:rPr>
        <w:t>№ 1 (лит</w:t>
      </w:r>
      <w:proofErr w:type="gramStart"/>
      <w:r w:rsidR="00FC71D3">
        <w:rPr>
          <w:rFonts w:ascii="Times New Roman" w:hAnsi="Times New Roman"/>
          <w:sz w:val="24"/>
          <w:szCs w:val="24"/>
        </w:rPr>
        <w:t>.</w:t>
      </w:r>
      <w:proofErr w:type="gramEnd"/>
      <w:r w:rsidR="00FC71D3">
        <w:rPr>
          <w:rFonts w:ascii="Times New Roman" w:hAnsi="Times New Roman"/>
          <w:sz w:val="24"/>
          <w:szCs w:val="24"/>
        </w:rPr>
        <w:t xml:space="preserve"> А</w:t>
      </w:r>
      <w:proofErr w:type="gramStart"/>
      <w:r w:rsidR="00FC71D3">
        <w:rPr>
          <w:rFonts w:ascii="Times New Roman" w:hAnsi="Times New Roman"/>
          <w:sz w:val="24"/>
          <w:szCs w:val="24"/>
        </w:rPr>
        <w:t>1</w:t>
      </w:r>
      <w:proofErr w:type="gramEnd"/>
      <w:r w:rsidR="00FC71D3">
        <w:rPr>
          <w:rFonts w:ascii="Times New Roman" w:hAnsi="Times New Roman"/>
          <w:sz w:val="24"/>
          <w:szCs w:val="24"/>
        </w:rPr>
        <w:t xml:space="preserve">)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FC71D3">
        <w:rPr>
          <w:rFonts w:ascii="Times New Roman" w:hAnsi="Times New Roman"/>
          <w:sz w:val="24"/>
          <w:szCs w:val="24"/>
        </w:rPr>
        <w:t>52-й Квартал, д. 2</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E20764" w:rsidRDefault="00D07ED0" w:rsidP="00B47487">
      <w:pPr>
        <w:spacing w:after="0" w:line="240" w:lineRule="auto"/>
        <w:ind w:firstLine="709"/>
        <w:jc w:val="both"/>
        <w:rPr>
          <w:rFonts w:ascii="Times New Roman" w:hAnsi="Times New Roman"/>
          <w:sz w:val="24"/>
          <w:szCs w:val="24"/>
        </w:rPr>
      </w:pPr>
      <w:proofErr w:type="gramStart"/>
      <w:r w:rsidRPr="00E20764">
        <w:rPr>
          <w:rFonts w:ascii="Times New Roman" w:hAnsi="Times New Roman"/>
          <w:sz w:val="24"/>
          <w:szCs w:val="24"/>
        </w:rPr>
        <w:t>- нежилое помещение</w:t>
      </w:r>
      <w:r w:rsidR="00FC71D3">
        <w:rPr>
          <w:rFonts w:ascii="Times New Roman" w:hAnsi="Times New Roman"/>
          <w:sz w:val="24"/>
          <w:szCs w:val="24"/>
        </w:rPr>
        <w:t xml:space="preserve"> № 1 (лит.</w:t>
      </w:r>
      <w:proofErr w:type="gramEnd"/>
      <w:r w:rsidR="00FC71D3">
        <w:rPr>
          <w:rFonts w:ascii="Times New Roman" w:hAnsi="Times New Roman"/>
          <w:sz w:val="24"/>
          <w:szCs w:val="24"/>
        </w:rPr>
        <w:t xml:space="preserve"> А</w:t>
      </w:r>
      <w:proofErr w:type="gramStart"/>
      <w:r w:rsidR="00FC71D3">
        <w:rPr>
          <w:rFonts w:ascii="Times New Roman" w:hAnsi="Times New Roman"/>
          <w:sz w:val="24"/>
          <w:szCs w:val="24"/>
        </w:rPr>
        <w:t>1</w:t>
      </w:r>
      <w:proofErr w:type="gramEnd"/>
      <w:r w:rsidR="00FC71D3">
        <w:rPr>
          <w:rFonts w:ascii="Times New Roman" w:hAnsi="Times New Roman"/>
          <w:sz w:val="24"/>
          <w:szCs w:val="24"/>
        </w:rPr>
        <w:t>)</w:t>
      </w:r>
      <w:r w:rsidRPr="00E20764">
        <w:rPr>
          <w:rFonts w:ascii="Times New Roman" w:hAnsi="Times New Roman"/>
          <w:sz w:val="24"/>
          <w:szCs w:val="24"/>
        </w:rPr>
        <w:t xml:space="preserve"> общей площадью </w:t>
      </w:r>
      <w:r w:rsidR="00FC71D3">
        <w:rPr>
          <w:rFonts w:ascii="Times New Roman" w:hAnsi="Times New Roman"/>
          <w:sz w:val="24"/>
          <w:szCs w:val="24"/>
        </w:rPr>
        <w:t>50,10</w:t>
      </w:r>
      <w:r w:rsidRPr="00E20764">
        <w:rPr>
          <w:rFonts w:ascii="Times New Roman" w:hAnsi="Times New Roman"/>
          <w:sz w:val="24"/>
          <w:szCs w:val="24"/>
        </w:rPr>
        <w:t xml:space="preserve"> кв. м, расположенное по адресу: г. Красноярск, ул. </w:t>
      </w:r>
      <w:r w:rsidR="00FC71D3">
        <w:rPr>
          <w:rFonts w:ascii="Times New Roman" w:hAnsi="Times New Roman"/>
          <w:sz w:val="24"/>
          <w:szCs w:val="24"/>
        </w:rPr>
        <w:t>52-й Квартал, д. 2</w:t>
      </w:r>
      <w:r w:rsidRPr="00E20764">
        <w:rPr>
          <w:rFonts w:ascii="Times New Roman" w:hAnsi="Times New Roman"/>
          <w:sz w:val="24"/>
          <w:szCs w:val="24"/>
        </w:rPr>
        <w:t>.</w:t>
      </w:r>
    </w:p>
    <w:p w:rsidR="00D07ED0" w:rsidRPr="002B61DC" w:rsidRDefault="002B61DC" w:rsidP="00B47487">
      <w:pPr>
        <w:pStyle w:val="af3"/>
        <w:spacing w:after="0"/>
        <w:ind w:left="0" w:firstLine="709"/>
        <w:jc w:val="both"/>
        <w:rPr>
          <w:b/>
        </w:rPr>
      </w:pPr>
      <w:r w:rsidRPr="002B61DC">
        <w:t xml:space="preserve">Нежилое помещение находится </w:t>
      </w:r>
      <w:r w:rsidR="00FC71D3">
        <w:t>в подвале</w:t>
      </w:r>
      <w:r w:rsidRPr="002B61DC">
        <w:t xml:space="preserve"> </w:t>
      </w:r>
      <w:r w:rsidR="00FC71D3">
        <w:t>п</w:t>
      </w:r>
      <w:r w:rsidRPr="002B61DC">
        <w:t>ятиэтажного жилого дома с административными помещениями 19</w:t>
      </w:r>
      <w:r w:rsidR="00FC71D3">
        <w:t>58</w:t>
      </w:r>
      <w:r w:rsidRPr="002B61DC">
        <w:t xml:space="preserve"> года постройки. Отдельный вход </w:t>
      </w:r>
      <w:r w:rsidR="00FC71D3">
        <w:t>отсутствует</w:t>
      </w:r>
      <w:r w:rsidR="00D07ED0" w:rsidRPr="002B61DC">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FC71D3"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FC71D3" w:rsidRDefault="00C56432" w:rsidP="00B47487">
      <w:pPr>
        <w:pStyle w:val="a7"/>
        <w:tabs>
          <w:tab w:val="left" w:pos="993"/>
        </w:tabs>
        <w:spacing w:after="0" w:line="240" w:lineRule="auto"/>
        <w:ind w:firstLine="709"/>
        <w:jc w:val="both"/>
        <w:rPr>
          <w:rFonts w:ascii="Times New Roman" w:hAnsi="Times New Roman"/>
          <w:b/>
          <w:bCs/>
          <w:sz w:val="24"/>
          <w:szCs w:val="24"/>
        </w:rPr>
      </w:pPr>
      <w:r w:rsidRPr="00FC71D3">
        <w:rPr>
          <w:rFonts w:ascii="Times New Roman" w:hAnsi="Times New Roman"/>
          <w:b/>
          <w:bCs/>
          <w:sz w:val="24"/>
          <w:szCs w:val="24"/>
        </w:rPr>
        <w:t xml:space="preserve">Информация о предыдущих торгах объектов продажи: </w:t>
      </w:r>
    </w:p>
    <w:p w:rsidR="00C56432" w:rsidRPr="00FC71D3" w:rsidRDefault="00D07ED0" w:rsidP="00B47487">
      <w:pPr>
        <w:pStyle w:val="a7"/>
        <w:spacing w:after="0" w:line="240" w:lineRule="auto"/>
        <w:ind w:firstLine="709"/>
        <w:jc w:val="both"/>
        <w:rPr>
          <w:rFonts w:ascii="Times New Roman" w:hAnsi="Times New Roman"/>
          <w:sz w:val="24"/>
          <w:szCs w:val="24"/>
        </w:rPr>
      </w:pPr>
      <w:r w:rsidRPr="00FC71D3">
        <w:rPr>
          <w:rFonts w:ascii="Times New Roman" w:hAnsi="Times New Roman"/>
          <w:sz w:val="24"/>
          <w:szCs w:val="24"/>
        </w:rPr>
        <w:t xml:space="preserve">Торги, назначенные на </w:t>
      </w:r>
      <w:r w:rsidR="00FC71D3" w:rsidRPr="00FC71D3">
        <w:rPr>
          <w:rFonts w:ascii="Times New Roman" w:hAnsi="Times New Roman"/>
          <w:sz w:val="24"/>
          <w:szCs w:val="24"/>
        </w:rPr>
        <w:t>16.05.2018, 18.09.2018</w:t>
      </w:r>
      <w:r w:rsidR="00FC71D3" w:rsidRPr="00FC71D3">
        <w:rPr>
          <w:rFonts w:ascii="Times New Roman" w:hAnsi="Times New Roman"/>
          <w:sz w:val="24"/>
          <w:szCs w:val="24"/>
        </w:rPr>
        <w:t>, 16.01.2019</w:t>
      </w:r>
      <w:r w:rsidR="00744544" w:rsidRPr="00FC71D3">
        <w:rPr>
          <w:rFonts w:ascii="Times New Roman" w:hAnsi="Times New Roman"/>
          <w:sz w:val="24"/>
          <w:szCs w:val="24"/>
        </w:rPr>
        <w:t>,</w:t>
      </w:r>
      <w:r w:rsidRPr="00FC71D3">
        <w:rPr>
          <w:rFonts w:ascii="Times New Roman" w:hAnsi="Times New Roman"/>
          <w:sz w:val="24"/>
          <w:szCs w:val="24"/>
        </w:rPr>
        <w:t xml:space="preserve"> признаны несостоявшимися в связи с отсутствием участников.</w:t>
      </w:r>
      <w:r w:rsidR="002B61DC" w:rsidRPr="00FC71D3">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44544">
        <w:rPr>
          <w:rFonts w:ascii="Times New Roman" w:hAnsi="Times New Roman"/>
          <w:b/>
          <w:sz w:val="24"/>
          <w:szCs w:val="24"/>
        </w:rPr>
        <w:t>0</w:t>
      </w:r>
      <w:r w:rsidR="00FC71D3">
        <w:rPr>
          <w:rFonts w:ascii="Times New Roman" w:hAnsi="Times New Roman"/>
          <w:b/>
          <w:sz w:val="24"/>
          <w:szCs w:val="24"/>
        </w:rPr>
        <w:t>8</w:t>
      </w:r>
      <w:r w:rsidRPr="00D421CA">
        <w:rPr>
          <w:rFonts w:ascii="Times New Roman" w:hAnsi="Times New Roman"/>
          <w:b/>
          <w:sz w:val="24"/>
          <w:szCs w:val="24"/>
        </w:rPr>
        <w:t>.0</w:t>
      </w:r>
      <w:r w:rsidR="00744544">
        <w:rPr>
          <w:rFonts w:ascii="Times New Roman" w:hAnsi="Times New Roman"/>
          <w:b/>
          <w:sz w:val="24"/>
          <w:szCs w:val="24"/>
        </w:rPr>
        <w:t>8</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44544">
        <w:rPr>
          <w:rFonts w:ascii="Times New Roman" w:hAnsi="Times New Roman"/>
          <w:b/>
          <w:sz w:val="24"/>
          <w:szCs w:val="24"/>
        </w:rPr>
        <w:t>0</w:t>
      </w:r>
      <w:r w:rsidR="00FC71D3">
        <w:rPr>
          <w:rFonts w:ascii="Times New Roman" w:hAnsi="Times New Roman"/>
          <w:b/>
          <w:sz w:val="24"/>
          <w:szCs w:val="24"/>
        </w:rPr>
        <w:t>4</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44544">
        <w:rPr>
          <w:rFonts w:ascii="Times New Roman" w:hAnsi="Times New Roman"/>
          <w:b/>
          <w:sz w:val="24"/>
          <w:szCs w:val="24"/>
        </w:rPr>
        <w:t>0</w:t>
      </w:r>
      <w:r w:rsidR="00FC71D3">
        <w:rPr>
          <w:rFonts w:ascii="Times New Roman" w:hAnsi="Times New Roman"/>
          <w:b/>
          <w:sz w:val="24"/>
          <w:szCs w:val="24"/>
        </w:rPr>
        <w:t>6</w:t>
      </w:r>
      <w:r w:rsidRPr="006F5EED">
        <w:rPr>
          <w:rFonts w:ascii="Times New Roman" w:hAnsi="Times New Roman"/>
          <w:b/>
          <w:sz w:val="24"/>
          <w:szCs w:val="24"/>
        </w:rPr>
        <w:t>.0</w:t>
      </w:r>
      <w:r w:rsidR="00744544">
        <w:rPr>
          <w:rFonts w:ascii="Times New Roman" w:hAnsi="Times New Roman"/>
          <w:b/>
          <w:sz w:val="24"/>
          <w:szCs w:val="24"/>
        </w:rPr>
        <w:t>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C71D3">
        <w:rPr>
          <w:rFonts w:ascii="Times New Roman" w:hAnsi="Times New Roman"/>
          <w:b/>
          <w:sz w:val="24"/>
          <w:szCs w:val="24"/>
        </w:rPr>
        <w:t>10</w:t>
      </w:r>
      <w:r w:rsidRPr="00D421CA">
        <w:rPr>
          <w:rFonts w:ascii="Times New Roman" w:hAnsi="Times New Roman"/>
          <w:b/>
          <w:sz w:val="24"/>
          <w:szCs w:val="24"/>
        </w:rPr>
        <w:t>.0</w:t>
      </w:r>
      <w:r w:rsidR="00744544">
        <w:rPr>
          <w:rFonts w:ascii="Times New Roman" w:hAnsi="Times New Roman"/>
          <w:b/>
          <w:sz w:val="24"/>
          <w:szCs w:val="24"/>
        </w:rPr>
        <w:t>9</w:t>
      </w:r>
      <w:r w:rsidRPr="00D421CA">
        <w:rPr>
          <w:rFonts w:ascii="Times New Roman" w:hAnsi="Times New Roman"/>
          <w:b/>
          <w:sz w:val="24"/>
          <w:szCs w:val="24"/>
        </w:rPr>
        <w:t xml:space="preserve">.2019 в </w:t>
      </w:r>
      <w:r w:rsidR="000E5C60">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FC71D3">
        <w:t xml:space="preserve"> 309</w:t>
      </w:r>
      <w:r w:rsidR="000A189D" w:rsidRPr="00D421CA">
        <w:t xml:space="preserve"> 000 (</w:t>
      </w:r>
      <w:r w:rsidR="00FC71D3">
        <w:t>триста девять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076432">
        <w:t>15 450</w:t>
      </w:r>
      <w:r w:rsidR="000A189D" w:rsidRPr="00D421CA">
        <w:t xml:space="preserve"> (</w:t>
      </w:r>
      <w:r w:rsidR="00076432">
        <w:t>пятнадцать тысяч четыреста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76432">
        <w:t>61 800</w:t>
      </w:r>
      <w:r w:rsidR="000A189D" w:rsidRPr="00D421CA">
        <w:t xml:space="preserve"> (</w:t>
      </w:r>
      <w:r w:rsidR="00076432">
        <w:t>шестьдесят одна тысяча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744544">
        <w:rPr>
          <w:sz w:val="24"/>
        </w:rPr>
        <w:t>0</w:t>
      </w:r>
      <w:r w:rsidR="00076432">
        <w:rPr>
          <w:sz w:val="24"/>
        </w:rPr>
        <w:t>8</w:t>
      </w:r>
      <w:r w:rsidR="00151F71">
        <w:rPr>
          <w:sz w:val="24"/>
        </w:rPr>
        <w:t>.0</w:t>
      </w:r>
      <w:r w:rsidR="00744544">
        <w:rPr>
          <w:sz w:val="24"/>
        </w:rPr>
        <w:t>8</w:t>
      </w:r>
      <w:r w:rsidR="006F5EED">
        <w:rPr>
          <w:sz w:val="24"/>
        </w:rPr>
        <w:t xml:space="preserve">.2019 по </w:t>
      </w:r>
      <w:r w:rsidR="00744544">
        <w:rPr>
          <w:sz w:val="24"/>
        </w:rPr>
        <w:t>0</w:t>
      </w:r>
      <w:r w:rsidR="00076432">
        <w:rPr>
          <w:sz w:val="24"/>
        </w:rPr>
        <w:t>4</w:t>
      </w:r>
      <w:r w:rsidR="006F5EED">
        <w:rPr>
          <w:sz w:val="24"/>
        </w:rPr>
        <w:t>.</w:t>
      </w:r>
      <w:r w:rsidR="00E62457" w:rsidRPr="00D421CA">
        <w:rPr>
          <w:sz w:val="24"/>
        </w:rPr>
        <w:t>0</w:t>
      </w:r>
      <w:r w:rsidR="00744544">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w:t>
      </w:r>
      <w:r w:rsidR="00076432">
        <w:rPr>
          <w:sz w:val="24"/>
        </w:rPr>
        <w:t>№ 1 (лит</w:t>
      </w:r>
      <w:proofErr w:type="gramStart"/>
      <w:r w:rsidR="00076432">
        <w:rPr>
          <w:sz w:val="24"/>
        </w:rPr>
        <w:t>.</w:t>
      </w:r>
      <w:proofErr w:type="gramEnd"/>
      <w:r w:rsidR="00076432">
        <w:rPr>
          <w:sz w:val="24"/>
        </w:rPr>
        <w:t xml:space="preserve"> А</w:t>
      </w:r>
      <w:proofErr w:type="gramStart"/>
      <w:r w:rsidR="00076432">
        <w:rPr>
          <w:sz w:val="24"/>
        </w:rPr>
        <w:t>1</w:t>
      </w:r>
      <w:proofErr w:type="gramEnd"/>
      <w:r w:rsidR="00076432">
        <w:rPr>
          <w:sz w:val="24"/>
        </w:rPr>
        <w:t xml:space="preserve">) </w:t>
      </w:r>
      <w:r w:rsidR="000A189D" w:rsidRPr="004A6320">
        <w:rPr>
          <w:sz w:val="24"/>
        </w:rPr>
        <w:t xml:space="preserve">по </w:t>
      </w:r>
      <w:r w:rsidR="006F5EED">
        <w:rPr>
          <w:sz w:val="24"/>
        </w:rPr>
        <w:t xml:space="preserve">ул. </w:t>
      </w:r>
      <w:r w:rsidR="00076432">
        <w:rPr>
          <w:sz w:val="24"/>
        </w:rPr>
        <w:t>52-й Квартал, д. 2</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744544" w:rsidRDefault="00744544" w:rsidP="00BD19F2">
      <w:pPr>
        <w:pStyle w:val="TextBasTxt"/>
        <w:spacing w:line="192" w:lineRule="auto"/>
        <w:ind w:firstLine="0"/>
      </w:pPr>
      <w:r>
        <w:t>Н</w:t>
      </w:r>
      <w:r w:rsidR="00886732">
        <w:t xml:space="preserve">ачальник отдела </w:t>
      </w:r>
    </w:p>
    <w:p w:rsidR="00886732" w:rsidRDefault="00744544" w:rsidP="00BD19F2">
      <w:pPr>
        <w:pStyle w:val="TextBasTxt"/>
        <w:spacing w:line="192" w:lineRule="auto"/>
        <w:ind w:firstLine="0"/>
      </w:pPr>
      <w:r>
        <w:t>у</w:t>
      </w:r>
      <w:r w:rsidR="00886732">
        <w:t>правления</w:t>
      </w:r>
      <w:r>
        <w:t xml:space="preserve"> </w:t>
      </w:r>
      <w:r w:rsidR="00886732">
        <w:t>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bookmarkStart w:id="1" w:name="_GoBack"/>
      <w:bookmarkEnd w:id="1"/>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76432">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432"/>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544"/>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C71D3"/>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281EB3-3259-4CC1-82B6-1F54CF543A94}"/>
</file>

<file path=customXml/itemProps2.xml><?xml version="1.0" encoding="utf-8"?>
<ds:datastoreItem xmlns:ds="http://schemas.openxmlformats.org/officeDocument/2006/customXml" ds:itemID="{66D73969-73B9-43C7-9025-417687D6C5A4}"/>
</file>

<file path=customXml/itemProps3.xml><?xml version="1.0" encoding="utf-8"?>
<ds:datastoreItem xmlns:ds="http://schemas.openxmlformats.org/officeDocument/2006/customXml" ds:itemID="{0D731F78-BDA5-47B6-B272-D747F7C3D521}"/>
</file>

<file path=customXml/itemProps4.xml><?xml version="1.0" encoding="utf-8"?>
<ds:datastoreItem xmlns:ds="http://schemas.openxmlformats.org/officeDocument/2006/customXml" ds:itemID="{F60A9681-DC5A-447C-9DC7-04FD554CA175}"/>
</file>

<file path=docProps/app.xml><?xml version="1.0" encoding="utf-8"?>
<Properties xmlns="http://schemas.openxmlformats.org/officeDocument/2006/extended-properties" xmlns:vt="http://schemas.openxmlformats.org/officeDocument/2006/docPropsVTypes">
  <Template>Normal</Template>
  <TotalTime>598</TotalTime>
  <Pages>13</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29</cp:revision>
  <cp:lastPrinted>2019-06-24T05:25:00Z</cp:lastPrinted>
  <dcterms:created xsi:type="dcterms:W3CDTF">2019-06-19T05:09:00Z</dcterms:created>
  <dcterms:modified xsi:type="dcterms:W3CDTF">2019-08-08T03:13:00Z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